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</w:rPr>
        <w:t>招聘人数及岗位条件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</w:rPr>
        <w:t>　　本次共招聘编外工作人员20名。</w:t>
      </w:r>
    </w:p>
    <w:tbl>
      <w:tblPr>
        <w:tblW w:w="654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864"/>
        <w:gridCol w:w="780"/>
        <w:gridCol w:w="1032"/>
        <w:gridCol w:w="1944"/>
        <w:gridCol w:w="12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1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研究生学历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行政管理、公共管理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具有3年以上管理工作经验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研究生学历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企业管理、旅游管理、工商管理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具有3年以上管理工作经验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全日制本科学历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会计学、财务会计教育、财务管理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具有3年以上财会工作经验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全日制本科学历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汉语言文学、秘书学、传播学、网络与新媒体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全日制本科学历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市场营销、工商管理、旅游管理、行政管理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全日制本科学历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计算机科学与技术、网络工程、电子与计算机工程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会计学、财务管理、会计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具有3年以上财会工作经验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行政管理、物业管理、工商管理、旅游管理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汉语言文学、新闻传播类、秘书学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文化市场经营管理、文化创意与策划、市场营销类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人力资源管理、公共管理类、工学类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初级职员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社会体育、音乐、美术、舞蹈教育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6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0B064237"/>
    <w:rsid w:val="16E145D1"/>
    <w:rsid w:val="5F6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卜荣荣</cp:lastModifiedBy>
  <dcterms:modified xsi:type="dcterms:W3CDTF">2020-05-26T00:40:14Z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