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125" w:afterAutospacing="0" w:line="19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015293"/>
          <w:spacing w:val="0"/>
          <w:sz w:val="30"/>
          <w:szCs w:val="30"/>
          <w:bdr w:val="none" w:color="auto" w:sz="0" w:space="0"/>
          <w:shd w:val="clear" w:fill="FFFFFF"/>
        </w:rPr>
        <w:t>上海市特种设备监督检验技术研究院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招聘岗位、人数及要求</w:t>
      </w:r>
    </w:p>
    <w:bookmarkEnd w:id="0"/>
    <w:tbl>
      <w:tblPr>
        <w:tblW w:w="7513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889"/>
        <w:gridCol w:w="1774"/>
        <w:gridCol w:w="890"/>
        <w:gridCol w:w="767"/>
        <w:gridCol w:w="646"/>
        <w:gridCol w:w="889"/>
        <w:gridCol w:w="101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招聘对象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最低工作年限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容器管道检验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化工过程机械、焊接、材料、无损检测等相关专业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  <w:jc w:val="center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起重机械型式试验员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机电一体化、电气工程及自动化等相关专业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23786"/>
    <w:rsid w:val="10D237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2020-11-16T02:23:00Z</dcterms:created>
  <dc:creator>ASUS</dc:creator>
  <cp:lastModifiedBy>ASUS</cp:lastModifiedBy>
  <dcterms:modified xsi:type="dcterms:W3CDTF">2020-11-16T02:23:26Z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