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自然资源农业农村及水利局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招聘岗位及人数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597"/>
        <w:gridCol w:w="597"/>
        <w:gridCol w:w="6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通海县国土空间生态修复中心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城市规划、城市规划与设计、城乡规划、城乡规划管理、人文地理与城乡规划、城乡区域规划与管理、城镇规划、城镇规划建设、城镇建设规划、城镇建设与规划及相近专业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通海县农业综合开发办公室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农田水利、水利水电、农业水利工程、农业水土工程、农业工程、农业建筑环境与能源工程、农业建筑与环境工程及相近专业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通海县水土保持工作站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0"/>
                <w:szCs w:val="20"/>
                <w:bdr w:val="none" w:color="auto" w:sz="0" w:space="0"/>
              </w:rPr>
              <w:t>水土保持与荒漠化防治、水土保持技术、水利、水利工程、水利工程管理、水利工程造价管理、水利水电工程、水利水电建筑工程、水文与水资源及相近专业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1062B"/>
    <w:rsid w:val="345106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2019-12-05T05:42:00Z</dcterms:created>
  <dc:creator>ASUS</dc:creator>
  <cp:lastModifiedBy>ASUS</cp:lastModifiedBy>
  <dcterms:modified xsi:type="dcterms:W3CDTF">2019-12-05T05:43:04Z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