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ascii="仿宋_GB2312" w:eastAsia="仿宋_GB2312" w:cs="仿宋_GB2312"/>
          <w:i w:val="0"/>
          <w:caps w:val="0"/>
          <w:color w:val="000000"/>
          <w:spacing w:val="0"/>
          <w:sz w:val="23"/>
          <w:szCs w:val="23"/>
          <w:u w:val="none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  <w:t>宜春市人民医院</w:t>
      </w:r>
      <w:bookmarkStart w:id="0" w:name="_GoBack"/>
      <w:bookmarkEnd w:id="0"/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</w:rPr>
        <w:t>招聘专业人数及要求</w:t>
      </w:r>
    </w:p>
    <w:tbl>
      <w:tblPr>
        <w:tblW w:w="831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5075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bdr w:val="none" w:color="auto" w:sz="0" w:space="0"/>
              </w:rPr>
              <w:t>科 室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bdr w:val="none" w:color="auto" w:sz="0" w:space="0"/>
              </w:rPr>
              <w:t>学历层次及专业要求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心血管内科病区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全日制硕士研究生，1989年9月1日之后出生，内科学专业（心血管方向），取得执业医师资格证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呼吸与危重症医学科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全日制硕士研究生，1989年9月1日之后出生，内科学专业（呼吸方向），取得执业医师资格证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全科医学科病区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全日制硕士研究生，1989年9月1日之后出生，内科学专业（全科医学或呼吸或心血管方向），取得执业医师资格证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风湿科病区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全日制硕士研究生，1989年9月1日之后出生，内科学专业（风湿方向），取得执业医师资格证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消化科病区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全日制硕士研究生，1989年9月1日之后出生，内科学专业（消化方向），取得执业医师资格证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肿瘤科病区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全日制硕士研究生，1989年9月1日之后出生，肿瘤学专业（肿瘤微创介入方向），取得执业医师资格证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神经内科病区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全日制硕士研究生，1989年9月1日之后出生，神经病学专业或内科学专业（神经内科方向），取得执业医师资格证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重症医学科病区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全日制硕士研究生，1989年9月1日之后出生，急诊医学专业或重症医学专业或内科学专业，取得执业医师资格证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肾内科病区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全日制硕士研究生，1989年9月1日之后出生，内科学专业（肾病方向），取得执业医师资格证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肺病医学科病区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全日制硕士研究生，1989年9月1日之后出生，内科学专业（呼吸方向或感染方向），取得执业医师资格证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产科病区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全日制硕士研究生，1989年9月1日之后出生，妇产科学专业，取得执业医师资格证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妇科病区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全日制硕士研究生，1989年9月1日之后出生，妇产科学专业，取得执业医师资格证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心脏大血管外科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全日制硕士研究生，1989年9月1日之后出生，外科学专业（心脏大血管外科方向），取得执业医师资格证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整形美容科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全日制硕士研究生，1989年9月1日之后出生，外科学专业（普外或整形方向），取得执业医师资格证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康复科病区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全日制硕士研究生，1989年9月1日之后出生，针灸推拿学或康复医学或内科学专业，取得执业医师资格证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皮肤科病区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全日制硕士研究生，1989年9月1日之后出生，皮肤病与性病学专业，取得执业医师资格证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全日制硕士研究生，1989年9月1日之后出生，内科学专业（重症或急诊方向），取得执业医师资格证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疼痛科病区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全日制硕士研究生，1989年9月1日之后出生，麻醉学专业或外科学（骨科方向或疼痛方向），取得执业医师资格证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麻醉科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全日制硕士研究生，1989年9月1日之后出生，麻醉学专业，取得执业医师资格证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放射科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全日制硕士研究生，1989年9月1日之后出生，影像医学与核医学专业（放射诊断方向），取得执业医师资格证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病理科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全日制硕士研究生，1989年9月1日之后出生，病理学与病理生理学专业，取得执业医师资格证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功能科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全日制硕士研究生，1989年9月1日之后出生，影像医学与核医学专业（临床超声诊断方向），取得执业医师资格证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检验科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全日制硕士研究生，1989年9月1日之后出生，临床检验诊断学专业，取得初级检验技师资格证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临床医学研究中心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全日制硕士研究生，1989年9月1日之后出生，内科学专业，取得执业医师资格证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药学部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全日制硕士研究生，1989年9月1日之后出生，药学专业，取得初级药师资格证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医院办公室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全日制硕士研究生，1989年9月1日之后出生，汉语言文字学或中国古代文学或哲学或新闻学专业，需中共党员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tblCellSpacing w:w="0" w:type="dxa"/>
        </w:trPr>
        <w:tc>
          <w:tcPr>
            <w:tcW w:w="2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医学装备管理科</w:t>
            </w:r>
          </w:p>
        </w:tc>
        <w:tc>
          <w:tcPr>
            <w:tcW w:w="5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全日制硕士研究生，1989年9月1日之后出生，生物医学工程或医用电子或机电一体化专业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4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合 计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u w:val="none"/>
                <w:bdr w:val="none" w:color="auto" w:sz="0" w:space="0"/>
              </w:rPr>
              <w:t>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D74F2"/>
    <w:rsid w:val="2B1D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2019-10-30T01:47:00Z</dcterms:created>
  <dc:creator>ASUS</dc:creator>
  <cp:lastModifiedBy>ASUS</cp:lastModifiedBy>
  <dcterms:modified xsi:type="dcterms:W3CDTF">2019-10-30T01:48:16Z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